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19AE" w14:textId="5BAD8E62" w:rsidR="00DB1C3D" w:rsidRDefault="00DD7691" w:rsidP="00DD7691">
      <w:pPr>
        <w:pStyle w:val="Titel"/>
      </w:pPr>
      <w:r>
        <w:t xml:space="preserve">Gezondverzekerd.nl – Goedkope </w:t>
      </w:r>
      <w:r w:rsidR="000553AD">
        <w:t>e</w:t>
      </w:r>
      <w:r>
        <w:t>nergie</w:t>
      </w:r>
    </w:p>
    <w:p w14:paraId="4598F075" w14:textId="7EC613A1" w:rsidR="00DD7691" w:rsidRDefault="00DD7691" w:rsidP="00DD7691"/>
    <w:p w14:paraId="4BAD3390" w14:textId="2EC89401" w:rsidR="00CB69BE" w:rsidRDefault="00DD7691" w:rsidP="00DD7691">
      <w:r>
        <w:rPr>
          <w:b/>
          <w:bCs/>
        </w:rPr>
        <w:t xml:space="preserve">Samenwerking BS&amp;F en </w:t>
      </w:r>
      <w:r w:rsidR="000731AB">
        <w:rPr>
          <w:b/>
          <w:bCs/>
        </w:rPr>
        <w:t>Saemen</w:t>
      </w:r>
      <w:r>
        <w:rPr>
          <w:b/>
          <w:bCs/>
        </w:rPr>
        <w:br/>
      </w:r>
      <w:r w:rsidR="00061F13">
        <w:t xml:space="preserve">BS&amp;F zet zich samen met </w:t>
      </w:r>
      <w:r w:rsidR="008E65DD">
        <w:t>meer dan 300</w:t>
      </w:r>
      <w:r w:rsidR="00061F13">
        <w:t xml:space="preserve"> gemeenten al jaren in om minima te ondersteunen. Dat deden zij al met de Gemeentepolis: een collectieve zorgverzekering vanuit de gemeente. </w:t>
      </w:r>
      <w:r w:rsidR="000731AB">
        <w:t xml:space="preserve">Saemen </w:t>
      </w:r>
      <w:r w:rsidR="00CB69BE">
        <w:t>helpt cliënten al bijna tien jaar aan besparingen op hun vaste lasten, op basis van eerlijke adviezen</w:t>
      </w:r>
      <w:r w:rsidR="003D4420">
        <w:t xml:space="preserve">. </w:t>
      </w:r>
      <w:r w:rsidR="00CB69BE">
        <w:t xml:space="preserve">Bijvoorbeeld over energie, verzekeringen en telecom. </w:t>
      </w:r>
      <w:r w:rsidR="005A4966">
        <w:t>Dit doen zij al jaren richting bewindvoering en d</w:t>
      </w:r>
      <w:r w:rsidR="00CB69BE">
        <w:t xml:space="preserve">eze dienstverlening breiden zij uit naar gemeenten. </w:t>
      </w:r>
    </w:p>
    <w:p w14:paraId="348D5DE0" w14:textId="0CB4D2E1" w:rsidR="00061F13" w:rsidRDefault="008E65DD" w:rsidP="00DD7691">
      <w:r>
        <w:t xml:space="preserve">Gezondverzekerd.nl – Goedkope energie is door BS&amp;F en </w:t>
      </w:r>
      <w:r w:rsidR="000731AB">
        <w:t>Saemen</w:t>
      </w:r>
      <w:r>
        <w:t xml:space="preserve"> </w:t>
      </w:r>
      <w:r w:rsidR="00061F13">
        <w:t xml:space="preserve">ontwikkeld om minima te </w:t>
      </w:r>
      <w:r w:rsidR="00061F13" w:rsidRPr="00061F13">
        <w:t>ondersteunen bij de keuze voor het meest passende energiecontract/energieleverancier</w:t>
      </w:r>
      <w:r w:rsidR="00061F13">
        <w:t xml:space="preserve"> </w:t>
      </w:r>
      <w:r>
        <w:t xml:space="preserve">en </w:t>
      </w:r>
      <w:r w:rsidR="00061F13">
        <w:t>zo de stijging van hun energiekosten te beperken. Daardoor ne</w:t>
      </w:r>
      <w:r w:rsidR="00346F93">
        <w:t>men</w:t>
      </w:r>
      <w:r w:rsidR="00061F13">
        <w:t xml:space="preserve"> de kans op financiële problemen, zoals schulden,</w:t>
      </w:r>
      <w:r w:rsidR="00346F93">
        <w:t xml:space="preserve"> en stress</w:t>
      </w:r>
      <w:r w:rsidR="00061F13">
        <w:t xml:space="preserve"> </w:t>
      </w:r>
      <w:r w:rsidR="00346F93">
        <w:t xml:space="preserve">– en de ongezonde gevolgen hiervan – </w:t>
      </w:r>
      <w:r w:rsidR="00061F13">
        <w:t>af</w:t>
      </w:r>
      <w:r w:rsidR="00346F93">
        <w:t xml:space="preserve">. </w:t>
      </w:r>
    </w:p>
    <w:p w14:paraId="24CD2DBA" w14:textId="34CDA92A" w:rsidR="00996306" w:rsidRDefault="00061F13" w:rsidP="00DD7691">
      <w:r>
        <w:rPr>
          <w:b/>
          <w:bCs/>
        </w:rPr>
        <w:t xml:space="preserve">Gezondverzekerd.nl – Goedkope </w:t>
      </w:r>
      <w:r w:rsidR="000553AD">
        <w:rPr>
          <w:b/>
          <w:bCs/>
        </w:rPr>
        <w:t>e</w:t>
      </w:r>
      <w:r>
        <w:rPr>
          <w:b/>
          <w:bCs/>
        </w:rPr>
        <w:t>nergie</w:t>
      </w:r>
      <w:r>
        <w:rPr>
          <w:b/>
          <w:bCs/>
        </w:rPr>
        <w:br/>
      </w:r>
      <w:r w:rsidR="00D569F2">
        <w:t xml:space="preserve">Op </w:t>
      </w:r>
      <w:hyperlink r:id="rId7" w:history="1">
        <w:r w:rsidR="00D569F2" w:rsidRPr="00FE75AD">
          <w:rPr>
            <w:rStyle w:val="Hyperlink"/>
          </w:rPr>
          <w:t>www.gezondverzekerd.nl/goedkope-energie</w:t>
        </w:r>
      </w:hyperlink>
      <w:r w:rsidR="00D569F2">
        <w:t xml:space="preserve"> word</w:t>
      </w:r>
      <w:r w:rsidR="00460783">
        <w:t>en</w:t>
      </w:r>
      <w:r w:rsidR="00D569F2">
        <w:t xml:space="preserve"> inwoners</w:t>
      </w:r>
      <w:r w:rsidR="00145617">
        <w:t xml:space="preserve"> persoonlijk geadviseerd. Zo wordt er</w:t>
      </w:r>
      <w:r w:rsidR="00D569F2">
        <w:t xml:space="preserve"> gevraagd naar hun </w:t>
      </w:r>
      <w:r w:rsidR="00D569F2" w:rsidRPr="00D569F2">
        <w:t>huidige leverancier, contracten</w:t>
      </w:r>
      <w:r w:rsidR="00D569F2">
        <w:t xml:space="preserve"> en </w:t>
      </w:r>
      <w:r w:rsidR="00D569F2" w:rsidRPr="00D569F2">
        <w:t>verbruik.</w:t>
      </w:r>
      <w:r w:rsidR="00D569F2">
        <w:t xml:space="preserve"> In sommige gevallen</w:t>
      </w:r>
      <w:r w:rsidR="00C92D5A">
        <w:t xml:space="preserve"> krijgen zij het advies </w:t>
      </w:r>
      <w:r w:rsidR="00D569F2">
        <w:t xml:space="preserve">om hun huidige contract te behouden. </w:t>
      </w:r>
      <w:r w:rsidR="00996306">
        <w:t xml:space="preserve">Bijvoorbeeld </w:t>
      </w:r>
      <w:r w:rsidR="001C43D4">
        <w:t>als ze</w:t>
      </w:r>
      <w:r w:rsidR="00996306" w:rsidRPr="00996306">
        <w:t xml:space="preserve"> </w:t>
      </w:r>
      <w:r w:rsidR="005A4966">
        <w:t xml:space="preserve">een </w:t>
      </w:r>
      <w:r w:rsidR="00996306" w:rsidRPr="00996306">
        <w:t>contract he</w:t>
      </w:r>
      <w:r w:rsidR="001C43D4">
        <w:t>bben</w:t>
      </w:r>
      <w:r w:rsidR="00996306" w:rsidRPr="00996306">
        <w:t xml:space="preserve"> met een vast tarief</w:t>
      </w:r>
      <w:r w:rsidR="00996306">
        <w:t xml:space="preserve">. </w:t>
      </w:r>
      <w:r w:rsidR="00D569F2">
        <w:t xml:space="preserve">Anders </w:t>
      </w:r>
      <w:r w:rsidR="005130AA">
        <w:t>krijgen zij een alternatief en beter passend energiecontract aangeboden; voordeliger</w:t>
      </w:r>
      <w:r w:rsidR="001C43D4">
        <w:t xml:space="preserve"> </w:t>
      </w:r>
      <w:r w:rsidR="00D569F2">
        <w:t>dan</w:t>
      </w:r>
      <w:r w:rsidR="00996306">
        <w:t xml:space="preserve"> d</w:t>
      </w:r>
      <w:r w:rsidR="001C43D4">
        <w:t>e contracten die i</w:t>
      </w:r>
      <w:r w:rsidR="00D569F2">
        <w:t>n de</w:t>
      </w:r>
      <w:r w:rsidR="00460783">
        <w:t xml:space="preserve"> reguliere</w:t>
      </w:r>
      <w:r w:rsidR="00D569F2">
        <w:t xml:space="preserve"> </w:t>
      </w:r>
      <w:r w:rsidR="00460783">
        <w:t>energie</w:t>
      </w:r>
      <w:r w:rsidR="00D569F2">
        <w:t>markt word</w:t>
      </w:r>
      <w:r w:rsidR="00DB5428">
        <w:t xml:space="preserve">en </w:t>
      </w:r>
      <w:r w:rsidR="00D569F2">
        <w:t>aangeboden</w:t>
      </w:r>
      <w:r w:rsidR="008A7DCC">
        <w:t xml:space="preserve"> en met</w:t>
      </w:r>
      <w:r w:rsidR="005130AA">
        <w:t xml:space="preserve"> unieke eigenschappen</w:t>
      </w:r>
      <w:r w:rsidR="008A7DCC">
        <w:t xml:space="preserve">: </w:t>
      </w:r>
    </w:p>
    <w:p w14:paraId="48739063" w14:textId="1F4C268B" w:rsidR="008A7DCC" w:rsidRDefault="008A7DCC" w:rsidP="008A7DCC">
      <w:pPr>
        <w:pStyle w:val="Lijstalinea"/>
        <w:numPr>
          <w:ilvl w:val="0"/>
          <w:numId w:val="5"/>
        </w:numPr>
      </w:pPr>
      <w:r>
        <w:t>Geen onverwachte kosten door een vast tarief;</w:t>
      </w:r>
    </w:p>
    <w:p w14:paraId="36347D02" w14:textId="7E662B36" w:rsidR="008A7DCC" w:rsidRDefault="008A7DCC" w:rsidP="008A7DCC">
      <w:pPr>
        <w:pStyle w:val="Lijstalinea"/>
        <w:numPr>
          <w:ilvl w:val="0"/>
          <w:numId w:val="5"/>
        </w:numPr>
      </w:pPr>
      <w:r>
        <w:t>Goedkoopste tarief per aanbieder;</w:t>
      </w:r>
    </w:p>
    <w:p w14:paraId="16AC7498" w14:textId="4A3CE84E" w:rsidR="008A7DCC" w:rsidRDefault="008A7DCC" w:rsidP="008A7DCC">
      <w:pPr>
        <w:pStyle w:val="Lijstalinea"/>
        <w:numPr>
          <w:ilvl w:val="0"/>
          <w:numId w:val="5"/>
        </w:numPr>
      </w:pPr>
      <w:r>
        <w:t xml:space="preserve">Verlenging tegen het goedkoopste tarief; </w:t>
      </w:r>
    </w:p>
    <w:p w14:paraId="7101ADE7" w14:textId="0DFBAC19" w:rsidR="008A7DCC" w:rsidRDefault="008A7DCC" w:rsidP="008A7DCC">
      <w:pPr>
        <w:pStyle w:val="Lijstalinea"/>
        <w:numPr>
          <w:ilvl w:val="0"/>
          <w:numId w:val="5"/>
        </w:numPr>
      </w:pPr>
      <w:r>
        <w:t>Spreekuren in de eigen gemeente;</w:t>
      </w:r>
    </w:p>
    <w:p w14:paraId="68796A15" w14:textId="0D7393F2" w:rsidR="008A7DCC" w:rsidRDefault="008A7DCC" w:rsidP="008A7DCC">
      <w:pPr>
        <w:pStyle w:val="Lijstalinea"/>
        <w:numPr>
          <w:ilvl w:val="0"/>
          <w:numId w:val="5"/>
        </w:numPr>
      </w:pPr>
      <w:r>
        <w:t xml:space="preserve">Inclusief opzegservice; </w:t>
      </w:r>
    </w:p>
    <w:p w14:paraId="5D911FCF" w14:textId="645C8493" w:rsidR="008A7DCC" w:rsidRDefault="008A7DCC" w:rsidP="008A7DCC">
      <w:pPr>
        <w:pStyle w:val="Lijstalinea"/>
        <w:numPr>
          <w:ilvl w:val="0"/>
          <w:numId w:val="5"/>
        </w:numPr>
      </w:pPr>
      <w:r>
        <w:t xml:space="preserve">Speciale afspraken met leveranciers en gemeenten. </w:t>
      </w:r>
    </w:p>
    <w:p w14:paraId="78DD0B21" w14:textId="405B3F32" w:rsidR="00DD7691" w:rsidRDefault="00996306" w:rsidP="00DD7691">
      <w:r>
        <w:t>E</w:t>
      </w:r>
      <w:r w:rsidRPr="00996306">
        <w:t xml:space="preserve">en inwoner wordt dus alleen geadviseerd over te stappen als dit daadwerkelijk financieel voordeel biedt. </w:t>
      </w:r>
      <w:r w:rsidR="00C92D5A">
        <w:t xml:space="preserve">Inwoners worden persoonlijk </w:t>
      </w:r>
      <w:r w:rsidRPr="00996306">
        <w:t xml:space="preserve">begeleid </w:t>
      </w:r>
      <w:r w:rsidR="005A4966">
        <w:t xml:space="preserve">(telefonisch dan wel via een online spreekuur) </w:t>
      </w:r>
      <w:r w:rsidRPr="00996306">
        <w:t>in het doorlopen van de tool en vervolgkeuze ten aanzien van zijn/haar energiecontract.</w:t>
      </w:r>
      <w:r w:rsidR="00C92D5A">
        <w:t xml:space="preserve"> Een eventueel nieuw contract</w:t>
      </w:r>
      <w:r w:rsidR="00C92D5A" w:rsidRPr="00996306">
        <w:t xml:space="preserve"> </w:t>
      </w:r>
      <w:r w:rsidR="00C92D5A">
        <w:t xml:space="preserve">kunnen zij </w:t>
      </w:r>
      <w:r w:rsidR="00C92D5A" w:rsidRPr="00996306">
        <w:t>direct afsluiten</w:t>
      </w:r>
      <w:r w:rsidR="00C92D5A">
        <w:t xml:space="preserve"> via de website</w:t>
      </w:r>
      <w:r w:rsidR="00C92D5A" w:rsidRPr="00996306">
        <w:t>.</w:t>
      </w:r>
    </w:p>
    <w:p w14:paraId="1F43DEDB" w14:textId="74887A59" w:rsidR="00C92D5A" w:rsidRDefault="00C92D5A" w:rsidP="00C92D5A">
      <w:r w:rsidRPr="00C92D5A">
        <w:t>BS&amp;F en</w:t>
      </w:r>
      <w:r w:rsidR="000731AB">
        <w:t xml:space="preserve"> Saemen</w:t>
      </w:r>
      <w:r w:rsidRPr="00C92D5A">
        <w:t xml:space="preserve"> hebben met een aantal energieleveranciers afspraken gemaakt om hun aanbod te tonen op Gezondverzekerd.nl</w:t>
      </w:r>
      <w:r>
        <w:t>.</w:t>
      </w:r>
      <w:r w:rsidRPr="00C92D5A">
        <w:t xml:space="preserve"> Het gaat om energieleveranciers die willen/kunnen voldoen aan de door ons gestelde voorwaarden: </w:t>
      </w:r>
    </w:p>
    <w:p w14:paraId="226241F4" w14:textId="0A0E3CD1" w:rsidR="00996306" w:rsidRPr="00996306" w:rsidRDefault="00C92D5A" w:rsidP="00C92D5A">
      <w:pPr>
        <w:pStyle w:val="Lijstalinea"/>
        <w:numPr>
          <w:ilvl w:val="0"/>
          <w:numId w:val="2"/>
        </w:numPr>
      </w:pPr>
      <w:r>
        <w:t xml:space="preserve">Ze verkeren </w:t>
      </w:r>
      <w:r w:rsidR="00996306" w:rsidRPr="00996306">
        <w:t xml:space="preserve">in een </w:t>
      </w:r>
      <w:r w:rsidR="00996306">
        <w:t xml:space="preserve">financieel </w:t>
      </w:r>
      <w:r w:rsidR="00996306" w:rsidRPr="00996306">
        <w:t>stabiele situatie</w:t>
      </w:r>
      <w:r w:rsidR="00996306">
        <w:t>;</w:t>
      </w:r>
    </w:p>
    <w:p w14:paraId="2E8904DC" w14:textId="18F44CD5" w:rsidR="00996306" w:rsidRPr="00996306" w:rsidRDefault="00C92D5A" w:rsidP="00996306">
      <w:pPr>
        <w:pStyle w:val="Lijstalinea"/>
        <w:numPr>
          <w:ilvl w:val="0"/>
          <w:numId w:val="2"/>
        </w:numPr>
      </w:pPr>
      <w:r>
        <w:t xml:space="preserve">Ze leveren </w:t>
      </w:r>
      <w:r w:rsidR="00996306" w:rsidRPr="00996306">
        <w:t>groene (duurzame) energie</w:t>
      </w:r>
      <w:r w:rsidR="00996306">
        <w:t>;</w:t>
      </w:r>
    </w:p>
    <w:p w14:paraId="598C2FE1" w14:textId="006036E9" w:rsidR="00996306" w:rsidRPr="00996306" w:rsidRDefault="00C92D5A" w:rsidP="00996306">
      <w:pPr>
        <w:pStyle w:val="Lijstalinea"/>
        <w:numPr>
          <w:ilvl w:val="0"/>
          <w:numId w:val="2"/>
        </w:numPr>
      </w:pPr>
      <w:r>
        <w:t>Ze kunnen h</w:t>
      </w:r>
      <w:r w:rsidR="00996306" w:rsidRPr="00996306">
        <w:t>oge klanttevredenheidscijfers (en communicatieve vaardigheden gericht op de doelgroep) bo</w:t>
      </w:r>
      <w:r w:rsidR="00963D15">
        <w:t>r</w:t>
      </w:r>
      <w:r w:rsidR="00996306" w:rsidRPr="00996306">
        <w:t xml:space="preserve">gen; </w:t>
      </w:r>
    </w:p>
    <w:p w14:paraId="7215C146" w14:textId="58F8881C" w:rsidR="00996306" w:rsidRPr="00996306" w:rsidRDefault="00C92D5A" w:rsidP="00996306">
      <w:pPr>
        <w:pStyle w:val="Lijstalinea"/>
        <w:numPr>
          <w:ilvl w:val="0"/>
          <w:numId w:val="2"/>
        </w:numPr>
      </w:pPr>
      <w:r>
        <w:t xml:space="preserve">Er wordt </w:t>
      </w:r>
      <w:r w:rsidR="00996306" w:rsidRPr="00996306">
        <w:t>100% acceptatie van inwoners, zonder borgstelling</w:t>
      </w:r>
      <w:r>
        <w:t>, gegarandeerd</w:t>
      </w:r>
      <w:r w:rsidR="00996306" w:rsidRPr="00996306">
        <w:t>;</w:t>
      </w:r>
    </w:p>
    <w:p w14:paraId="0207F049" w14:textId="77777777" w:rsidR="00D35490" w:rsidRDefault="00C92D5A" w:rsidP="00996306">
      <w:pPr>
        <w:pStyle w:val="Lijstalinea"/>
        <w:numPr>
          <w:ilvl w:val="0"/>
          <w:numId w:val="2"/>
        </w:numPr>
      </w:pPr>
      <w:r>
        <w:t xml:space="preserve">Er wordt </w:t>
      </w:r>
      <w:r w:rsidR="00996306" w:rsidRPr="00996306">
        <w:t>geen risico-opslag</w:t>
      </w:r>
      <w:r>
        <w:t xml:space="preserve"> berekend</w:t>
      </w:r>
      <w:r w:rsidR="00D35490">
        <w:t>.</w:t>
      </w:r>
    </w:p>
    <w:p w14:paraId="25246B77" w14:textId="0599D413" w:rsidR="00996306" w:rsidRDefault="00996306" w:rsidP="00D35490">
      <w:r w:rsidRPr="00996306">
        <w:t xml:space="preserve">Het gaat </w:t>
      </w:r>
      <w:r w:rsidR="00C92D5A">
        <w:t>hierbij</w:t>
      </w:r>
      <w:r w:rsidRPr="00996306">
        <w:t xml:space="preserve"> om vier maatschappijen</w:t>
      </w:r>
      <w:r w:rsidR="00963D15">
        <w:t>:</w:t>
      </w:r>
      <w:r w:rsidRPr="00996306">
        <w:t xml:space="preserve"> </w:t>
      </w:r>
      <w:bookmarkStart w:id="0" w:name="_Hlk89176288"/>
      <w:r w:rsidRPr="00996306">
        <w:t xml:space="preserve">Essent, </w:t>
      </w:r>
      <w:proofErr w:type="spellStart"/>
      <w:r w:rsidRPr="00996306">
        <w:t>Greenchoice</w:t>
      </w:r>
      <w:proofErr w:type="spellEnd"/>
      <w:r w:rsidRPr="00996306">
        <w:t xml:space="preserve"> en </w:t>
      </w:r>
      <w:proofErr w:type="spellStart"/>
      <w:r w:rsidRPr="00996306">
        <w:t>Innova</w:t>
      </w:r>
      <w:bookmarkEnd w:id="0"/>
      <w:proofErr w:type="spellEnd"/>
      <w:r w:rsidR="00963D15">
        <w:t xml:space="preserve">. </w:t>
      </w:r>
      <w:r w:rsidR="000731AB">
        <w:t xml:space="preserve">Saemen </w:t>
      </w:r>
      <w:r w:rsidRPr="00996306">
        <w:t xml:space="preserve">werkt aan </w:t>
      </w:r>
      <w:r w:rsidR="00963D15">
        <w:t xml:space="preserve">de </w:t>
      </w:r>
      <w:r w:rsidRPr="00996306">
        <w:t xml:space="preserve">verdere uitbreiding </w:t>
      </w:r>
      <w:r w:rsidR="00963D15">
        <w:t>van de leveranciers</w:t>
      </w:r>
      <w:r w:rsidRPr="00996306">
        <w:t xml:space="preserve">. </w:t>
      </w:r>
    </w:p>
    <w:p w14:paraId="5C49A353" w14:textId="4A110A06" w:rsidR="00963D15" w:rsidRPr="00D35490" w:rsidRDefault="005B4DD5" w:rsidP="00996306">
      <w:r>
        <w:rPr>
          <w:b/>
          <w:bCs/>
        </w:rPr>
        <w:lastRenderedPageBreak/>
        <w:t>Communicatie</w:t>
      </w:r>
      <w:r>
        <w:rPr>
          <w:b/>
          <w:bCs/>
        </w:rPr>
        <w:br/>
      </w:r>
      <w:r>
        <w:t xml:space="preserve">Uiteraard moeten inwoners worden gewezen op het bestaan en nut van deze </w:t>
      </w:r>
      <w:r w:rsidR="00DD7245">
        <w:t>website</w:t>
      </w:r>
      <w:r>
        <w:t xml:space="preserve">. </w:t>
      </w:r>
      <w:r w:rsidRPr="00D35490">
        <w:t xml:space="preserve">Daarom worden er afspraken gemaakt met consulenten over </w:t>
      </w:r>
      <w:r w:rsidR="007F63C8" w:rsidRPr="00D35490">
        <w:t xml:space="preserve">het doorverwijzen van inwoners naar </w:t>
      </w:r>
      <w:r w:rsidR="00DD7245" w:rsidRPr="00D35490">
        <w:t>www.gezondverzekerd.nl/goedkope-energie</w:t>
      </w:r>
      <w:r w:rsidR="007F63C8" w:rsidRPr="00D35490">
        <w:t xml:space="preserve">. Daarnaast </w:t>
      </w:r>
      <w:r w:rsidR="00D35490" w:rsidRPr="00D35490">
        <w:t xml:space="preserve">kunnen er </w:t>
      </w:r>
      <w:r w:rsidR="007F63C8" w:rsidRPr="00D35490">
        <w:t>spreekuren plaats</w:t>
      </w:r>
      <w:r w:rsidR="00D35490" w:rsidRPr="00D35490">
        <w:t>vinden</w:t>
      </w:r>
      <w:r w:rsidR="007F63C8" w:rsidRPr="00D35490">
        <w:t xml:space="preserve"> om inwoners te helpen met het doorlopen van de tool. </w:t>
      </w:r>
      <w:r w:rsidR="00DD7245" w:rsidRPr="00D35490">
        <w:t>Hie</w:t>
      </w:r>
      <w:r w:rsidR="007F63C8" w:rsidRPr="00D35490">
        <w:t>rvoor</w:t>
      </w:r>
      <w:r w:rsidR="00DD7245" w:rsidRPr="00D35490">
        <w:t xml:space="preserve"> zijn</w:t>
      </w:r>
      <w:r w:rsidR="007F63C8" w:rsidRPr="00D35490">
        <w:t xml:space="preserve"> coaches/adviseurs </w:t>
      </w:r>
      <w:r w:rsidR="00DD7245" w:rsidRPr="00D35490">
        <w:t>beschikbaar</w:t>
      </w:r>
      <w:r w:rsidR="007F63C8" w:rsidRPr="00D35490">
        <w:t>.</w:t>
      </w:r>
    </w:p>
    <w:p w14:paraId="650C423E" w14:textId="603D2D8E" w:rsidR="00D35490" w:rsidRPr="00D35490" w:rsidRDefault="007F63C8" w:rsidP="00996306">
      <w:r w:rsidRPr="00D35490">
        <w:t xml:space="preserve">Ook </w:t>
      </w:r>
      <w:r w:rsidR="00D35490" w:rsidRPr="00D35490">
        <w:t>zijn er communicatiemiddelen beschikbaar vanuit Gezondverzekerd</w:t>
      </w:r>
      <w:r w:rsidR="00D35490">
        <w:t>.nl</w:t>
      </w:r>
      <w:r w:rsidR="00D35490" w:rsidRPr="00D35490">
        <w:t xml:space="preserve"> aan de gemeente om in te zetten op hun website, in nieuwsbrief en op </w:t>
      </w:r>
      <w:proofErr w:type="spellStart"/>
      <w:r w:rsidR="00D35490" w:rsidRPr="00D35490">
        <w:t>socialmediakanalen</w:t>
      </w:r>
      <w:proofErr w:type="spellEnd"/>
      <w:r w:rsidR="00D35490" w:rsidRPr="00D35490">
        <w:t>.</w:t>
      </w:r>
    </w:p>
    <w:p w14:paraId="6B3FC565" w14:textId="4C8108C1" w:rsidR="00CB69BE" w:rsidRDefault="00DD04F5" w:rsidP="00DD7691">
      <w:r>
        <w:rPr>
          <w:b/>
          <w:bCs/>
        </w:rPr>
        <w:t>Kosten en inzet</w:t>
      </w:r>
      <w:r>
        <w:rPr>
          <w:b/>
          <w:bCs/>
        </w:rPr>
        <w:br/>
      </w:r>
      <w:r w:rsidRPr="00DD04F5">
        <w:t xml:space="preserve">De </w:t>
      </w:r>
      <w:r w:rsidR="00DD7245">
        <w:t>website</w:t>
      </w:r>
      <w:r w:rsidRPr="00DD04F5">
        <w:t xml:space="preserve"> </w:t>
      </w:r>
      <w:r>
        <w:t>‘Goedkope energie’</w:t>
      </w:r>
      <w:r w:rsidRPr="00DD04F5">
        <w:t xml:space="preserve"> is kosteloos voor gemeenten die</w:t>
      </w:r>
      <w:r w:rsidR="002A4141">
        <w:t xml:space="preserve"> al</w:t>
      </w:r>
      <w:r w:rsidRPr="00DD04F5">
        <w:t xml:space="preserve"> </w:t>
      </w:r>
      <w:r w:rsidR="00DD7245">
        <w:t xml:space="preserve">de </w:t>
      </w:r>
      <w:r w:rsidRPr="00DD04F5">
        <w:t xml:space="preserve">licentie </w:t>
      </w:r>
      <w:r w:rsidR="00DD7245">
        <w:t xml:space="preserve">Extra of Premium </w:t>
      </w:r>
      <w:r w:rsidRPr="00DD04F5">
        <w:t>hebben voor de BS&amp;F</w:t>
      </w:r>
      <w:r w:rsidR="002A4141">
        <w:t>-</w:t>
      </w:r>
      <w:r w:rsidRPr="00DD04F5">
        <w:t xml:space="preserve">applicatie </w:t>
      </w:r>
      <w:r w:rsidR="002A4141">
        <w:t xml:space="preserve">‘Gezondverzekerd.nl’, t.b.v. de Gemeentepolis. </w:t>
      </w:r>
      <w:r w:rsidR="00DD7245">
        <w:t>Aan de gemeente</w:t>
      </w:r>
      <w:r w:rsidR="002A4141">
        <w:t xml:space="preserve"> wordt alleen gevraagd om personele inzet voor de implementatie en communicatie rondom Gezondverzekerd.nl – Goedkope energie</w:t>
      </w:r>
      <w:r w:rsidR="00DD7245">
        <w:t xml:space="preserve"> te leveren</w:t>
      </w:r>
      <w:r w:rsidR="002A4141">
        <w:t xml:space="preserve">. </w:t>
      </w:r>
    </w:p>
    <w:p w14:paraId="470A4743" w14:textId="77777777" w:rsidR="00DD7245" w:rsidRDefault="00DD7245" w:rsidP="00DD7245">
      <w:r>
        <w:t>Meer informatie is via de volgende links te vinden:</w:t>
      </w:r>
    </w:p>
    <w:p w14:paraId="705CB578" w14:textId="191ABBEC" w:rsidR="00DD7245" w:rsidRDefault="00D35490" w:rsidP="00DD7245">
      <w:pPr>
        <w:pStyle w:val="Lijstalinea"/>
        <w:numPr>
          <w:ilvl w:val="0"/>
          <w:numId w:val="3"/>
        </w:numPr>
      </w:pPr>
      <w:hyperlink r:id="rId8" w:history="1">
        <w:r w:rsidR="00DD7245" w:rsidRPr="005130AA">
          <w:rPr>
            <w:rStyle w:val="Hyperlink"/>
          </w:rPr>
          <w:t>Goedkope energie</w:t>
        </w:r>
      </w:hyperlink>
    </w:p>
    <w:p w14:paraId="2FAABE85" w14:textId="15D329E3" w:rsidR="00DD7245" w:rsidRDefault="00D35490" w:rsidP="00DD7245">
      <w:pPr>
        <w:pStyle w:val="Lijstalinea"/>
        <w:numPr>
          <w:ilvl w:val="0"/>
          <w:numId w:val="3"/>
        </w:numPr>
      </w:pPr>
      <w:hyperlink r:id="rId9" w:history="1">
        <w:r w:rsidR="00DD7245" w:rsidRPr="005130AA">
          <w:rPr>
            <w:rStyle w:val="Hyperlink"/>
          </w:rPr>
          <w:t xml:space="preserve">Over </w:t>
        </w:r>
        <w:r w:rsidR="005130AA" w:rsidRPr="005130AA">
          <w:rPr>
            <w:rStyle w:val="Hyperlink"/>
          </w:rPr>
          <w:t>G</w:t>
        </w:r>
        <w:r w:rsidR="00DD7245" w:rsidRPr="005130AA">
          <w:rPr>
            <w:rStyle w:val="Hyperlink"/>
          </w:rPr>
          <w:t>ezondverzekerd.nl</w:t>
        </w:r>
      </w:hyperlink>
    </w:p>
    <w:p w14:paraId="37D057D1" w14:textId="6FD65C63" w:rsidR="0049705B" w:rsidRDefault="00D35490" w:rsidP="00745DBF">
      <w:pPr>
        <w:pStyle w:val="Lijstalinea"/>
        <w:numPr>
          <w:ilvl w:val="0"/>
          <w:numId w:val="3"/>
        </w:numPr>
      </w:pPr>
      <w:hyperlink r:id="rId10" w:history="1">
        <w:r w:rsidR="00DD7245" w:rsidRPr="005130AA">
          <w:rPr>
            <w:rStyle w:val="Hyperlink"/>
          </w:rPr>
          <w:t>Kennisbank</w:t>
        </w:r>
      </w:hyperlink>
      <w:r w:rsidR="00DD7245">
        <w:t xml:space="preserve"> Gezondverzekerd.nl</w:t>
      </w:r>
    </w:p>
    <w:p w14:paraId="39D928C2" w14:textId="77777777" w:rsidR="000731AB" w:rsidRPr="00DD7245" w:rsidRDefault="000731AB" w:rsidP="000731AB"/>
    <w:sectPr w:rsidR="000731AB" w:rsidRPr="00DD7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5AD5" w14:textId="77777777" w:rsidR="00EF3CED" w:rsidRDefault="00EF3CED" w:rsidP="00DD7691">
      <w:pPr>
        <w:spacing w:after="0" w:line="240" w:lineRule="auto"/>
      </w:pPr>
      <w:r>
        <w:separator/>
      </w:r>
    </w:p>
  </w:endnote>
  <w:endnote w:type="continuationSeparator" w:id="0">
    <w:p w14:paraId="4C8D36DA" w14:textId="77777777" w:rsidR="00EF3CED" w:rsidRDefault="00EF3CED" w:rsidP="00DD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BA41" w14:textId="77777777" w:rsidR="00EF3CED" w:rsidRDefault="00EF3CED" w:rsidP="00DD7691">
      <w:pPr>
        <w:spacing w:after="0" w:line="240" w:lineRule="auto"/>
      </w:pPr>
      <w:r>
        <w:separator/>
      </w:r>
    </w:p>
  </w:footnote>
  <w:footnote w:type="continuationSeparator" w:id="0">
    <w:p w14:paraId="67AA75FB" w14:textId="77777777" w:rsidR="00EF3CED" w:rsidRDefault="00EF3CED" w:rsidP="00DD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5BB"/>
    <w:multiLevelType w:val="hybridMultilevel"/>
    <w:tmpl w:val="18FCF3B6"/>
    <w:lvl w:ilvl="0" w:tplc="36862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5FD6"/>
    <w:multiLevelType w:val="hybridMultilevel"/>
    <w:tmpl w:val="4126D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78B"/>
    <w:multiLevelType w:val="multilevel"/>
    <w:tmpl w:val="0F78F38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576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8"/>
        </w:tabs>
        <w:ind w:left="1728" w:hanging="576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576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56"/>
        </w:tabs>
        <w:ind w:left="3456" w:hanging="576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32"/>
        </w:tabs>
        <w:ind w:left="4032" w:hanging="576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08"/>
        </w:tabs>
        <w:ind w:left="4608" w:hanging="576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84"/>
        </w:tabs>
        <w:ind w:left="5184" w:hanging="576"/>
      </w:pPr>
      <w:rPr>
        <w:rFonts w:ascii="OpenSymbol" w:hAnsi="OpenSymbol" w:cs="OpenSymbol" w:hint="default"/>
      </w:rPr>
    </w:lvl>
  </w:abstractNum>
  <w:abstractNum w:abstractNumId="3" w15:restartNumberingAfterBreak="0">
    <w:nsid w:val="5DF9632D"/>
    <w:multiLevelType w:val="hybridMultilevel"/>
    <w:tmpl w:val="5A1A123C"/>
    <w:lvl w:ilvl="0" w:tplc="30A0AEE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02EE"/>
    <w:multiLevelType w:val="hybridMultilevel"/>
    <w:tmpl w:val="4A983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39033">
    <w:abstractNumId w:val="2"/>
  </w:num>
  <w:num w:numId="2" w16cid:durableId="763496913">
    <w:abstractNumId w:val="1"/>
  </w:num>
  <w:num w:numId="3" w16cid:durableId="1487237103">
    <w:abstractNumId w:val="0"/>
  </w:num>
  <w:num w:numId="4" w16cid:durableId="1685982455">
    <w:abstractNumId w:val="4"/>
  </w:num>
  <w:num w:numId="5" w16cid:durableId="202404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1"/>
    <w:rsid w:val="000553AD"/>
    <w:rsid w:val="00061F13"/>
    <w:rsid w:val="000731AB"/>
    <w:rsid w:val="0009037E"/>
    <w:rsid w:val="00145617"/>
    <w:rsid w:val="001641B4"/>
    <w:rsid w:val="001A3C2D"/>
    <w:rsid w:val="001C43D4"/>
    <w:rsid w:val="001E1EF7"/>
    <w:rsid w:val="001E59CD"/>
    <w:rsid w:val="00274F30"/>
    <w:rsid w:val="002A4141"/>
    <w:rsid w:val="003262C9"/>
    <w:rsid w:val="00346F93"/>
    <w:rsid w:val="003C5A64"/>
    <w:rsid w:val="003D4420"/>
    <w:rsid w:val="00460783"/>
    <w:rsid w:val="00485765"/>
    <w:rsid w:val="0049705B"/>
    <w:rsid w:val="005130AA"/>
    <w:rsid w:val="005A4966"/>
    <w:rsid w:val="005B4DD5"/>
    <w:rsid w:val="00666B0C"/>
    <w:rsid w:val="00731198"/>
    <w:rsid w:val="007376F8"/>
    <w:rsid w:val="0075082D"/>
    <w:rsid w:val="007630C0"/>
    <w:rsid w:val="007F63C8"/>
    <w:rsid w:val="008A7DCC"/>
    <w:rsid w:val="008E65DD"/>
    <w:rsid w:val="00963D15"/>
    <w:rsid w:val="009777B8"/>
    <w:rsid w:val="00996306"/>
    <w:rsid w:val="00BE3774"/>
    <w:rsid w:val="00C83256"/>
    <w:rsid w:val="00C92D5A"/>
    <w:rsid w:val="00CB69BE"/>
    <w:rsid w:val="00D35490"/>
    <w:rsid w:val="00D569F2"/>
    <w:rsid w:val="00DB1C3D"/>
    <w:rsid w:val="00DB5428"/>
    <w:rsid w:val="00DD04F5"/>
    <w:rsid w:val="00DD7245"/>
    <w:rsid w:val="00DD7691"/>
    <w:rsid w:val="00E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139A"/>
  <w15:chartTrackingRefBased/>
  <w15:docId w15:val="{DFAF324E-DA5A-452C-A08E-7CF2063C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D7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D7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569F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9F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9630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F63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F63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F63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3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3C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7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zondverzekerd.nl/goedkope-energ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zondverzekerd.nl/goedkope-energ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senf.nl/kennisbank/gezondverzekerd/goedkope-ener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zondverzekerd.nl/over-gezondverzekerd-nl-2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Markvoort</dc:creator>
  <cp:keywords/>
  <dc:description/>
  <cp:lastModifiedBy>Marielle Huisjes</cp:lastModifiedBy>
  <cp:revision>2</cp:revision>
  <dcterms:created xsi:type="dcterms:W3CDTF">2023-03-28T11:42:00Z</dcterms:created>
  <dcterms:modified xsi:type="dcterms:W3CDTF">2023-03-28T11:42:00Z</dcterms:modified>
</cp:coreProperties>
</file>